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项目名称：设备购置、更新项目可研型报告及资金申请报告编制服务（第二次）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编号：BSRMYY-YNCG-2026-02007</w:t>
      </w:r>
      <w:bookmarkStart w:id="7" w:name="_GoBack"/>
      <w:bookmarkEnd w:id="7"/>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0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803"/>
        <w:gridCol w:w="1092"/>
        <w:gridCol w:w="1215"/>
        <w:gridCol w:w="1920"/>
        <w:gridCol w:w="1920"/>
      </w:tblGrid>
      <w:tr w14:paraId="14046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98" w:hRule="atLeast"/>
          <w:jc w:val="center"/>
        </w:trPr>
        <w:tc>
          <w:tcPr>
            <w:tcW w:w="3803" w:type="dxa"/>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092"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1215"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1920"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920" w:type="dxa"/>
            <w:vAlign w:val="center"/>
          </w:tcPr>
          <w:p w14:paraId="2E645C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650C1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1" w:hRule="atLeast"/>
          <w:jc w:val="center"/>
        </w:trPr>
        <w:tc>
          <w:tcPr>
            <w:tcW w:w="3803" w:type="dxa"/>
            <w:vAlign w:val="center"/>
          </w:tcPr>
          <w:p w14:paraId="32D13EB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设备购置项目可研型报告和资金申请报告编制服务</w:t>
            </w:r>
          </w:p>
        </w:tc>
        <w:tc>
          <w:tcPr>
            <w:tcW w:w="1092" w:type="dxa"/>
            <w:vAlign w:val="center"/>
          </w:tcPr>
          <w:p w14:paraId="2F113F8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1215" w:type="dxa"/>
            <w:vAlign w:val="center"/>
          </w:tcPr>
          <w:p w14:paraId="65042AF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1920" w:type="dxa"/>
            <w:vAlign w:val="center"/>
          </w:tcPr>
          <w:p w14:paraId="3BEB525A">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27000</w:t>
            </w:r>
          </w:p>
        </w:tc>
        <w:tc>
          <w:tcPr>
            <w:tcW w:w="1920" w:type="dxa"/>
            <w:vMerge w:val="restart"/>
            <w:vAlign w:val="center"/>
          </w:tcPr>
          <w:p w14:paraId="08EBE90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54000</w:t>
            </w:r>
          </w:p>
        </w:tc>
      </w:tr>
      <w:tr w14:paraId="10BCB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1" w:hRule="atLeast"/>
          <w:jc w:val="center"/>
        </w:trPr>
        <w:tc>
          <w:tcPr>
            <w:tcW w:w="3803" w:type="dxa"/>
            <w:vAlign w:val="center"/>
          </w:tcPr>
          <w:p w14:paraId="21E334F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设备更新项目可研型报告和资金申请报告编制服务</w:t>
            </w:r>
          </w:p>
        </w:tc>
        <w:tc>
          <w:tcPr>
            <w:tcW w:w="1092" w:type="dxa"/>
            <w:shd w:val="clear" w:color="auto" w:fill="auto"/>
            <w:vAlign w:val="center"/>
          </w:tcPr>
          <w:p w14:paraId="0F0A902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p>
        </w:tc>
        <w:tc>
          <w:tcPr>
            <w:tcW w:w="1215" w:type="dxa"/>
            <w:shd w:val="clear" w:color="auto" w:fill="auto"/>
            <w:vAlign w:val="center"/>
          </w:tcPr>
          <w:p w14:paraId="036E326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项</w:t>
            </w:r>
          </w:p>
        </w:tc>
        <w:tc>
          <w:tcPr>
            <w:tcW w:w="1920" w:type="dxa"/>
            <w:vAlign w:val="center"/>
          </w:tcPr>
          <w:p w14:paraId="19CDFB7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27000</w:t>
            </w:r>
          </w:p>
        </w:tc>
        <w:tc>
          <w:tcPr>
            <w:tcW w:w="1920" w:type="dxa"/>
            <w:vMerge w:val="continue"/>
            <w:vAlign w:val="center"/>
          </w:tcPr>
          <w:p w14:paraId="517257B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2"/>
                <w:sz w:val="28"/>
                <w:szCs w:val="28"/>
                <w:highlight w:val="none"/>
                <w:lang w:val="en-US" w:eastAsia="zh-CN" w:bidi="ar-SA"/>
              </w:rPr>
            </w:pP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49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33"/>
        <w:gridCol w:w="1967"/>
        <w:gridCol w:w="5177"/>
      </w:tblGrid>
      <w:tr w14:paraId="1B164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308" w:type="pct"/>
            <w:vAlign w:val="center"/>
          </w:tcPr>
          <w:p w14:paraId="35A4EED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016" w:type="pct"/>
            <w:vAlign w:val="center"/>
          </w:tcPr>
          <w:p w14:paraId="4472D0B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项目特点</w:t>
            </w:r>
          </w:p>
        </w:tc>
        <w:tc>
          <w:tcPr>
            <w:tcW w:w="2674" w:type="pct"/>
            <w:vAlign w:val="center"/>
          </w:tcPr>
          <w:p w14:paraId="62F6162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5BF0E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5" w:hRule="atLeast"/>
          <w:jc w:val="center"/>
        </w:trPr>
        <w:tc>
          <w:tcPr>
            <w:tcW w:w="1308" w:type="pct"/>
            <w:shd w:val="clear" w:color="auto" w:fill="auto"/>
            <w:vAlign w:val="center"/>
          </w:tcPr>
          <w:p w14:paraId="34447689">
            <w:pPr>
              <w:keepNext w:val="0"/>
              <w:keepLines w:val="0"/>
              <w:pageBreakBefore w:val="0"/>
              <w:kinsoku/>
              <w:wordWrap/>
              <w:overflowPunct/>
              <w:topLinePunct w:val="0"/>
              <w:autoSpaceDE/>
              <w:autoSpaceDN/>
              <w:bidi w:val="0"/>
              <w:adjustRightIn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设备购置项目可研型报告和资金申请报告编制服务</w:t>
            </w:r>
          </w:p>
        </w:tc>
        <w:tc>
          <w:tcPr>
            <w:tcW w:w="1016" w:type="pct"/>
            <w:shd w:val="clear" w:color="auto" w:fill="auto"/>
            <w:vAlign w:val="center"/>
          </w:tcPr>
          <w:p w14:paraId="4CB8359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设备购置项目包含设备6台，金额4988万元。</w:t>
            </w:r>
          </w:p>
        </w:tc>
        <w:tc>
          <w:tcPr>
            <w:tcW w:w="2674" w:type="pct"/>
            <w:vMerge w:val="restart"/>
            <w:shd w:val="clear" w:color="auto" w:fill="auto"/>
            <w:vAlign w:val="center"/>
          </w:tcPr>
          <w:p w14:paraId="694C0C2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负责本项目《可行性研究报告》与《资金申请报告》的编制工作，严格按照国家现行的关于建设项目的可行性研究报告的法规和技术标准。在合同签订后的10个工作日内完成初稿，在收到修改意见后3个工作日内完成修改，积极配合开展报告的修改完善、评审组织及上报流程，确保项目最终顺利上报。如因供应商所提交的报告编制质量达不到相关部门的审批要求，供应商须继续对报告进行修改，直至符合报告审批要求。</w:t>
            </w:r>
          </w:p>
        </w:tc>
      </w:tr>
      <w:tr w14:paraId="4FCEB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85" w:hRule="atLeast"/>
          <w:jc w:val="center"/>
        </w:trPr>
        <w:tc>
          <w:tcPr>
            <w:tcW w:w="1308" w:type="pct"/>
            <w:shd w:val="clear" w:color="auto" w:fill="auto"/>
            <w:vAlign w:val="center"/>
          </w:tcPr>
          <w:p w14:paraId="536980D9">
            <w:pPr>
              <w:keepNext w:val="0"/>
              <w:keepLines w:val="0"/>
              <w:pageBreakBefore w:val="0"/>
              <w:kinsoku/>
              <w:wordWrap/>
              <w:overflowPunct/>
              <w:topLinePunct w:val="0"/>
              <w:autoSpaceDE/>
              <w:autoSpaceDN/>
              <w:bidi w:val="0"/>
              <w:adjustRightInd/>
              <w:spacing w:line="44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设备更新项目可研型报告和资金申请报告编制服务</w:t>
            </w:r>
          </w:p>
        </w:tc>
        <w:tc>
          <w:tcPr>
            <w:tcW w:w="1016" w:type="pct"/>
            <w:shd w:val="clear" w:color="auto" w:fill="auto"/>
            <w:vAlign w:val="center"/>
          </w:tcPr>
          <w:p w14:paraId="6AB7707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设备更新项目包含设备4台，合计金额3260万元。</w:t>
            </w:r>
          </w:p>
        </w:tc>
        <w:tc>
          <w:tcPr>
            <w:tcW w:w="2674" w:type="pct"/>
            <w:vMerge w:val="continue"/>
            <w:shd w:val="clear" w:color="auto" w:fill="auto"/>
            <w:vAlign w:val="center"/>
          </w:tcPr>
          <w:p w14:paraId="6AD382B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b/>
                <w:bCs/>
                <w:kern w:val="2"/>
                <w:sz w:val="28"/>
                <w:szCs w:val="28"/>
                <w:highlight w:val="none"/>
                <w:lang w:val="en-US" w:eastAsia="zh-CN" w:bidi="ar-SA"/>
              </w:rPr>
            </w:pPr>
          </w:p>
        </w:tc>
      </w:tr>
    </w:tbl>
    <w:p w14:paraId="08B1A3EF">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备注：要求供应商投标时提供至少一个相关类似业绩的合同及批复文</w:t>
      </w:r>
    </w:p>
    <w:p w14:paraId="7E2B0CFA">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件。</w:t>
      </w:r>
    </w:p>
    <w:p w14:paraId="58CC3E6E">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DE0B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644700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本项目最高限价54000元</w:t>
      </w:r>
      <w:r>
        <w:rPr>
          <w:rFonts w:hint="eastAsia" w:ascii="方正仿宋_GBK" w:hAnsi="方正仿宋_GBK" w:eastAsia="方正仿宋_GBK" w:cs="方正仿宋_GBK"/>
          <w:b w:val="0"/>
          <w:bCs w:val="0"/>
          <w:color w:val="auto"/>
          <w:kern w:val="0"/>
          <w:sz w:val="32"/>
          <w:szCs w:val="32"/>
          <w:highlight w:val="none"/>
          <w:lang w:val="en-US" w:eastAsia="zh-CN"/>
        </w:rPr>
        <w:t>。报价包括但不限于项目服务费、配套设备辅材费、资料装订及邮寄费、税费、保险费、验收检测费等完成本项目所需的一切费用。供应商报送价格不得超过采购人限价，否则视为无效报价。因成交供应商自身原因造成漏报、少报皆由其自行承担责任，采购人不再补偿。</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6715762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发票、验收记录等，采购人全额支付。备注：由于璧山区各行政事业单位账户统一在重庆市璧山区财政局开设，采购人验收合格完成支付审批流程后，需向财政局提交资金支付申请，由财政按相关制度逐级审批后完成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333966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以采购方收到区发改委批复文件作为最终验收。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259ADCB4">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服务效果考核</w:t>
      </w:r>
    </w:p>
    <w:p w14:paraId="35D29B6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1.规定时间内完成报告编制。2.在规定时间内完成修改。3.配合完成上报。</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1A591D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成交供应商应当为采购人提供技术援助电话，在30分钟内响应解答采购人在使用中遇到的问题，及时为采购人提出解决问题的建议。 </w:t>
      </w:r>
    </w:p>
    <w:p w14:paraId="221A0D02">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现场响应</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电话咨询不能解决的，供应商应在4小时内到达现场处置。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（3）保密要求</w:t>
      </w:r>
    </w:p>
    <w:p w14:paraId="651E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采购方将提供供应商所需资料，供应商须对采购方提供资料负保密责任，未经采购方同意，供应商不得擅自公开、转让或泄漏。</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（1）供应商投标前须向采购人缴纳投标保证金1000元，形式可为现金、支票、汇款、银行保函等。供应商应在投标时间内将投标响应资料和投标保证金缴纳凭证交到采购办，资料不齐的视为无效响应。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063B74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（十）履约保证金</w:t>
      </w:r>
    </w:p>
    <w:p w14:paraId="3BCA65C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须在合同签订前向采购人缴纳项目履约保证金3000元。履约保障金将用于保障服务质量（合同签订后拒绝履约出具相关报告的，采购人有权从履约保证金中抵扣；服务质量争议鉴定费用将优先从履约保证金中垫付）、响应及时性、配套服务、供应商履约期间廉洁自律、围标串标追责和违约时追责。供应商无上述行为，验收合格（区发改委审核通过）且合同义务履行完毕后将一次性无息退还。如有上述行为除扣除履约保证金外，同时纳入采购人供应商不良执业记录进行管理。</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完成服务内容，每延长一日承担成交金额百分之三的违约金，超过10日未能交付，采购人有权单方面解除合同，并要求供应商承担合同总金额30%的违约金；供应商不配合采购人的上报工作，每次承担成交金额百分之三违约金，采购人可直接从合同金额内扣除。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w:t>
      </w:r>
      <w:r>
        <w:rPr>
          <w:rFonts w:hint="eastAsia" w:ascii="方正仿宋_GBK" w:hAnsi="方正仿宋_GBK" w:eastAsia="方正仿宋_GBK" w:cs="方正仿宋_GBK"/>
          <w:b w:val="0"/>
          <w:bCs w:val="0"/>
          <w:color w:val="auto"/>
          <w:kern w:val="0"/>
          <w:sz w:val="32"/>
          <w:szCs w:val="32"/>
          <w:highlight w:val="none"/>
          <w:lang w:val="en-US" w:eastAsia="zh-CN"/>
        </w:rPr>
        <w:t>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提供虚假报告等），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（十二）合同终止情形</w:t>
      </w:r>
    </w:p>
    <w:p w14:paraId="7C7A23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供应商拒绝出具相关报告；供应商廉洁违纪行为；供应商主动放弃等。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（十三）中选标准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（十四）其他要求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eastAsia="zh-CN"/>
        </w:rPr>
        <w:t>须圈出符合资质要求的经营范围和有效期</w:t>
      </w:r>
      <w:r>
        <w:rPr>
          <w:rFonts w:hint="eastAsia" w:ascii="方正仿宋_GBK" w:hAnsi="方正仿宋_GBK" w:eastAsia="方正仿宋_GBK" w:cs="方正仿宋_GBK"/>
          <w:color w:val="auto"/>
          <w:sz w:val="32"/>
          <w:szCs w:val="32"/>
          <w:highlight w:val="none"/>
          <w:lang w:val="en-US" w:eastAsia="zh-CN"/>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FC48D5C">
      <w:pPr>
        <w:ind w:firstLine="640" w:firstLineChars="200"/>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43463834">
      <w:pPr>
        <w:jc w:val="left"/>
        <w:rPr>
          <w:rFonts w:hint="eastAsia" w:ascii="微软雅黑" w:hAnsi="微软雅黑" w:eastAsia="微软雅黑" w:cs="方正小标宋_GBK"/>
          <w:b/>
          <w:bCs/>
          <w:sz w:val="32"/>
          <w:szCs w:val="32"/>
          <w:highlight w:val="none"/>
        </w:rPr>
      </w:pPr>
    </w:p>
    <w:p w14:paraId="505CF198">
      <w:pPr>
        <w:jc w:val="left"/>
        <w:rPr>
          <w:rFonts w:hint="eastAsia" w:ascii="微软雅黑" w:hAnsi="微软雅黑" w:eastAsia="微软雅黑" w:cs="方正小标宋_GBK"/>
          <w:b/>
          <w:bCs/>
          <w:sz w:val="32"/>
          <w:szCs w:val="32"/>
          <w:highlight w:val="none"/>
        </w:rPr>
      </w:pPr>
    </w:p>
    <w:p w14:paraId="131B3954">
      <w:pPr>
        <w:jc w:val="left"/>
        <w:rPr>
          <w:rFonts w:hint="eastAsia" w:ascii="微软雅黑" w:hAnsi="微软雅黑" w:eastAsia="微软雅黑" w:cs="方正小标宋_GBK"/>
          <w:b/>
          <w:bCs/>
          <w:sz w:val="32"/>
          <w:szCs w:val="32"/>
          <w:highlight w:val="none"/>
        </w:rPr>
      </w:pPr>
    </w:p>
    <w:p w14:paraId="62D7528D">
      <w:pPr>
        <w:jc w:val="left"/>
        <w:rPr>
          <w:rFonts w:hint="eastAsia" w:ascii="微软雅黑" w:hAnsi="微软雅黑" w:eastAsia="微软雅黑" w:cs="方正小标宋_GBK"/>
          <w:b/>
          <w:bCs/>
          <w:sz w:val="32"/>
          <w:szCs w:val="32"/>
          <w:highlight w:val="none"/>
        </w:rPr>
      </w:pPr>
    </w:p>
    <w:p w14:paraId="2E31187F">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28229747"/>
      <w:bookmarkStart w:id="2" w:name="_Toc128229304"/>
      <w:bookmarkStart w:id="3" w:name="_Toc173677399"/>
      <w:bookmarkStart w:id="4" w:name="_Toc156196472"/>
      <w:bookmarkStart w:id="5" w:name="_Toc237057793"/>
      <w:bookmarkStart w:id="6" w:name="_Toc175017344"/>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CE39C"/>
    <w:multiLevelType w:val="singleLevel"/>
    <w:tmpl w:val="82ECE39C"/>
    <w:lvl w:ilvl="0" w:tentative="0">
      <w:start w:val="2"/>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CFA14274"/>
    <w:multiLevelType w:val="singleLevel"/>
    <w:tmpl w:val="CFA14274"/>
    <w:lvl w:ilvl="0" w:tentative="0">
      <w:start w:val="6"/>
      <w:numFmt w:val="chineseCounting"/>
      <w:suff w:val="nothing"/>
      <w:lvlText w:val="（%1）"/>
      <w:lvlJc w:val="left"/>
      <w:rPr>
        <w:rFonts w:hint="eastAsia"/>
      </w:rPr>
    </w:lvl>
  </w:abstractNum>
  <w:abstractNum w:abstractNumId="3">
    <w:nsid w:val="16796E28"/>
    <w:multiLevelType w:val="singleLevel"/>
    <w:tmpl w:val="16796E28"/>
    <w:lvl w:ilvl="0" w:tentative="0">
      <w:start w:val="2"/>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93E016B"/>
    <w:multiLevelType w:val="singleLevel"/>
    <w:tmpl w:val="593E016B"/>
    <w:lvl w:ilvl="0" w:tentative="0">
      <w:start w:val="1"/>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597A6C"/>
    <w:rsid w:val="015024C4"/>
    <w:rsid w:val="015B6D6E"/>
    <w:rsid w:val="02E501FA"/>
    <w:rsid w:val="03A67C4F"/>
    <w:rsid w:val="03CE68FB"/>
    <w:rsid w:val="041961A8"/>
    <w:rsid w:val="044A060F"/>
    <w:rsid w:val="04C70F47"/>
    <w:rsid w:val="05216546"/>
    <w:rsid w:val="056E5276"/>
    <w:rsid w:val="06361B7E"/>
    <w:rsid w:val="06FB539B"/>
    <w:rsid w:val="072B786C"/>
    <w:rsid w:val="074B78AB"/>
    <w:rsid w:val="07F82B6D"/>
    <w:rsid w:val="082216E1"/>
    <w:rsid w:val="083251D0"/>
    <w:rsid w:val="08892439"/>
    <w:rsid w:val="09604328"/>
    <w:rsid w:val="09901044"/>
    <w:rsid w:val="0A86348F"/>
    <w:rsid w:val="0AD61857"/>
    <w:rsid w:val="0BCE4B39"/>
    <w:rsid w:val="0C872834"/>
    <w:rsid w:val="0C974041"/>
    <w:rsid w:val="0CB1115F"/>
    <w:rsid w:val="0CE64C8D"/>
    <w:rsid w:val="0D5C636E"/>
    <w:rsid w:val="0D913B3D"/>
    <w:rsid w:val="0DDC74AE"/>
    <w:rsid w:val="0E440BB0"/>
    <w:rsid w:val="0E6637FD"/>
    <w:rsid w:val="0E6753E5"/>
    <w:rsid w:val="0E9F1F75"/>
    <w:rsid w:val="0EC35F79"/>
    <w:rsid w:val="0EE859DF"/>
    <w:rsid w:val="0F3D73C4"/>
    <w:rsid w:val="0FAB7A71"/>
    <w:rsid w:val="0FD01451"/>
    <w:rsid w:val="10945E1E"/>
    <w:rsid w:val="109A11ED"/>
    <w:rsid w:val="11594F0F"/>
    <w:rsid w:val="118C7961"/>
    <w:rsid w:val="11EE7F88"/>
    <w:rsid w:val="122D0B62"/>
    <w:rsid w:val="12D44BF8"/>
    <w:rsid w:val="133D5E0A"/>
    <w:rsid w:val="17772668"/>
    <w:rsid w:val="18860D7D"/>
    <w:rsid w:val="1922346A"/>
    <w:rsid w:val="19375EE1"/>
    <w:rsid w:val="194849D3"/>
    <w:rsid w:val="19FC6B1C"/>
    <w:rsid w:val="1A1C7FE3"/>
    <w:rsid w:val="1AAE2C67"/>
    <w:rsid w:val="1AF86BE0"/>
    <w:rsid w:val="1B3306B6"/>
    <w:rsid w:val="1BDE0896"/>
    <w:rsid w:val="1CF00EFC"/>
    <w:rsid w:val="1E552F6B"/>
    <w:rsid w:val="1F2F00AB"/>
    <w:rsid w:val="20464723"/>
    <w:rsid w:val="20746E51"/>
    <w:rsid w:val="21426D4A"/>
    <w:rsid w:val="219739C1"/>
    <w:rsid w:val="22240453"/>
    <w:rsid w:val="229A0B71"/>
    <w:rsid w:val="22F03C5B"/>
    <w:rsid w:val="236757CC"/>
    <w:rsid w:val="23FB11F4"/>
    <w:rsid w:val="24D32F62"/>
    <w:rsid w:val="26541E80"/>
    <w:rsid w:val="26EB3E67"/>
    <w:rsid w:val="28687E65"/>
    <w:rsid w:val="29AE2A56"/>
    <w:rsid w:val="29F1586C"/>
    <w:rsid w:val="29FA37EC"/>
    <w:rsid w:val="2A402D6D"/>
    <w:rsid w:val="2A4A0D9B"/>
    <w:rsid w:val="2A5D507B"/>
    <w:rsid w:val="2C3529EE"/>
    <w:rsid w:val="2C7E2617"/>
    <w:rsid w:val="2CC37769"/>
    <w:rsid w:val="2CE61358"/>
    <w:rsid w:val="2D055F0E"/>
    <w:rsid w:val="2EB12E1E"/>
    <w:rsid w:val="2F2F3117"/>
    <w:rsid w:val="2FC44243"/>
    <w:rsid w:val="30433499"/>
    <w:rsid w:val="31092EA8"/>
    <w:rsid w:val="31E75266"/>
    <w:rsid w:val="3200110E"/>
    <w:rsid w:val="32214672"/>
    <w:rsid w:val="33FB61AD"/>
    <w:rsid w:val="342C6BC9"/>
    <w:rsid w:val="34A34922"/>
    <w:rsid w:val="355748A5"/>
    <w:rsid w:val="3566572C"/>
    <w:rsid w:val="35761799"/>
    <w:rsid w:val="357C2FC3"/>
    <w:rsid w:val="36432BB5"/>
    <w:rsid w:val="367F4573"/>
    <w:rsid w:val="373D34D1"/>
    <w:rsid w:val="376E6279"/>
    <w:rsid w:val="38A14340"/>
    <w:rsid w:val="38FA1D7C"/>
    <w:rsid w:val="38FD3E94"/>
    <w:rsid w:val="396A2364"/>
    <w:rsid w:val="39923C09"/>
    <w:rsid w:val="39986CE0"/>
    <w:rsid w:val="3A2C5456"/>
    <w:rsid w:val="3A8A6AFB"/>
    <w:rsid w:val="3B5B7766"/>
    <w:rsid w:val="3B9A7DAE"/>
    <w:rsid w:val="3CBC6F89"/>
    <w:rsid w:val="3D8263F7"/>
    <w:rsid w:val="3E9F6BB4"/>
    <w:rsid w:val="40447A99"/>
    <w:rsid w:val="40611EDD"/>
    <w:rsid w:val="41B900E2"/>
    <w:rsid w:val="439873F8"/>
    <w:rsid w:val="43BB2B7F"/>
    <w:rsid w:val="442069E9"/>
    <w:rsid w:val="44C5770F"/>
    <w:rsid w:val="44EF71C4"/>
    <w:rsid w:val="45170BAD"/>
    <w:rsid w:val="45EF05E5"/>
    <w:rsid w:val="467D0B27"/>
    <w:rsid w:val="46A77952"/>
    <w:rsid w:val="471277E6"/>
    <w:rsid w:val="473F7C96"/>
    <w:rsid w:val="475D7492"/>
    <w:rsid w:val="482D6FF9"/>
    <w:rsid w:val="49470D20"/>
    <w:rsid w:val="496140CE"/>
    <w:rsid w:val="4A317C5F"/>
    <w:rsid w:val="4AA416B0"/>
    <w:rsid w:val="4AE139DB"/>
    <w:rsid w:val="4B782C5C"/>
    <w:rsid w:val="4BDB0A24"/>
    <w:rsid w:val="4C31315D"/>
    <w:rsid w:val="4E3B1140"/>
    <w:rsid w:val="4E437F61"/>
    <w:rsid w:val="4F5543EF"/>
    <w:rsid w:val="4F6D75ED"/>
    <w:rsid w:val="4FB76E58"/>
    <w:rsid w:val="501716A5"/>
    <w:rsid w:val="503E39C9"/>
    <w:rsid w:val="50F964C5"/>
    <w:rsid w:val="51352B6B"/>
    <w:rsid w:val="51736DAF"/>
    <w:rsid w:val="53A17F68"/>
    <w:rsid w:val="53DB6C22"/>
    <w:rsid w:val="54104D89"/>
    <w:rsid w:val="54281AFA"/>
    <w:rsid w:val="55085A60"/>
    <w:rsid w:val="55956EC5"/>
    <w:rsid w:val="564D1860"/>
    <w:rsid w:val="57744314"/>
    <w:rsid w:val="57B37553"/>
    <w:rsid w:val="597436C4"/>
    <w:rsid w:val="59A815C0"/>
    <w:rsid w:val="59D647D3"/>
    <w:rsid w:val="5B25654A"/>
    <w:rsid w:val="5BB04553"/>
    <w:rsid w:val="5BD41136"/>
    <w:rsid w:val="5D352EBF"/>
    <w:rsid w:val="5DBD061A"/>
    <w:rsid w:val="5E932E93"/>
    <w:rsid w:val="5FA4498B"/>
    <w:rsid w:val="603C0CB4"/>
    <w:rsid w:val="610619ED"/>
    <w:rsid w:val="61130716"/>
    <w:rsid w:val="61143219"/>
    <w:rsid w:val="6138591F"/>
    <w:rsid w:val="61707CCC"/>
    <w:rsid w:val="61A6052D"/>
    <w:rsid w:val="626B6216"/>
    <w:rsid w:val="637666C3"/>
    <w:rsid w:val="63814C5E"/>
    <w:rsid w:val="643E385E"/>
    <w:rsid w:val="649966D5"/>
    <w:rsid w:val="64B2548C"/>
    <w:rsid w:val="668D480C"/>
    <w:rsid w:val="66F928BE"/>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1E41B55"/>
    <w:rsid w:val="72BB5C94"/>
    <w:rsid w:val="72D674C8"/>
    <w:rsid w:val="72FC7376"/>
    <w:rsid w:val="732B3BA9"/>
    <w:rsid w:val="73C21B9F"/>
    <w:rsid w:val="744E4384"/>
    <w:rsid w:val="74D3615F"/>
    <w:rsid w:val="74FA0ACC"/>
    <w:rsid w:val="75E0445A"/>
    <w:rsid w:val="76B92C06"/>
    <w:rsid w:val="77991C4E"/>
    <w:rsid w:val="77FA34D6"/>
    <w:rsid w:val="78024143"/>
    <w:rsid w:val="796C68A4"/>
    <w:rsid w:val="798264FA"/>
    <w:rsid w:val="799B64FC"/>
    <w:rsid w:val="79E9735F"/>
    <w:rsid w:val="7A0F3269"/>
    <w:rsid w:val="7AF0174A"/>
    <w:rsid w:val="7BDE27F0"/>
    <w:rsid w:val="7C6F2CF1"/>
    <w:rsid w:val="7C765833"/>
    <w:rsid w:val="7C8A0E47"/>
    <w:rsid w:val="7CA67789"/>
    <w:rsid w:val="7E192908"/>
    <w:rsid w:val="7E7E5944"/>
    <w:rsid w:val="7EAA512E"/>
    <w:rsid w:val="7EE67CE4"/>
    <w:rsid w:val="7F6F6558"/>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6866</Words>
  <Characters>7081</Characters>
  <Lines>0</Lines>
  <Paragraphs>0</Paragraphs>
  <TotalTime>52</TotalTime>
  <ScaleCrop>false</ScaleCrop>
  <LinksUpToDate>false</LinksUpToDate>
  <CharactersWithSpaces>7765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2026-02-28T09:23:45Z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